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39" w:rsidRDefault="007242DA" w:rsidP="00302E39">
      <w:pPr>
        <w:ind w:firstLine="708"/>
        <w:jc w:val="center"/>
        <w:rPr>
          <w:rFonts w:ascii="Bookman Old Style" w:hAnsi="Bookman Old Style"/>
          <w:b/>
        </w:rPr>
      </w:pPr>
      <w:r>
        <w:rPr>
          <w:rFonts w:ascii="Bookman Old Style" w:hAnsi="Bookman Old Style"/>
          <w:b/>
        </w:rPr>
        <w:t>PROCESSO</w:t>
      </w:r>
      <w:r w:rsidR="00302E39">
        <w:rPr>
          <w:rFonts w:ascii="Bookman Old Style" w:hAnsi="Bookman Old Style"/>
          <w:b/>
        </w:rPr>
        <w:t xml:space="preserve"> 02/2019</w:t>
      </w:r>
    </w:p>
    <w:p w:rsidR="00302E39" w:rsidRDefault="00302E39" w:rsidP="00302E39">
      <w:pPr>
        <w:ind w:firstLine="708"/>
        <w:jc w:val="center"/>
        <w:rPr>
          <w:rFonts w:ascii="Bookman Old Style" w:hAnsi="Bookman Old Style"/>
          <w:b/>
        </w:rPr>
      </w:pPr>
      <w:r>
        <w:rPr>
          <w:rFonts w:ascii="Bookman Old Style" w:hAnsi="Bookman Old Style"/>
          <w:b/>
        </w:rPr>
        <w:t>DISPENSA 02/2019</w:t>
      </w:r>
    </w:p>
    <w:p w:rsidR="00302E39" w:rsidRPr="00425FDB" w:rsidRDefault="00302E39" w:rsidP="00302E39">
      <w:pPr>
        <w:ind w:firstLine="708"/>
        <w:jc w:val="center"/>
        <w:rPr>
          <w:rFonts w:ascii="Bookman Old Style" w:hAnsi="Bookman Old Style"/>
          <w:b/>
        </w:rPr>
      </w:pPr>
      <w:r>
        <w:rPr>
          <w:rFonts w:ascii="Bookman Old Style" w:hAnsi="Bookman Old Style"/>
          <w:b/>
        </w:rPr>
        <w:t xml:space="preserve">CONTRATO 06/2019                                               </w:t>
      </w:r>
    </w:p>
    <w:p w:rsidR="00302E39" w:rsidRDefault="00302E39" w:rsidP="00302E39">
      <w:pPr>
        <w:spacing w:before="120" w:after="120"/>
        <w:ind w:right="4585"/>
        <w:jc w:val="both"/>
        <w:rPr>
          <w:rFonts w:ascii="Bookman Old Style" w:hAnsi="Bookman Old Style"/>
          <w:b/>
        </w:rPr>
      </w:pPr>
    </w:p>
    <w:p w:rsidR="00302E39" w:rsidRPr="00425FDB" w:rsidRDefault="00302E39" w:rsidP="00302E39">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proofErr w:type="gramStart"/>
      <w:r>
        <w:rPr>
          <w:rFonts w:ascii="Bookman Old Style" w:hAnsi="Bookman Old Style"/>
          <w:b/>
        </w:rPr>
        <w:t>PEQUERI</w:t>
      </w:r>
      <w:r w:rsidR="007242DA">
        <w:rPr>
          <w:rFonts w:ascii="Bookman Old Style" w:hAnsi="Bookman Old Style"/>
          <w:b/>
        </w:rPr>
        <w:t xml:space="preserve"> </w:t>
      </w:r>
      <w:r w:rsidRPr="00425FDB">
        <w:rPr>
          <w:rFonts w:ascii="Bookman Old Style" w:hAnsi="Bookman Old Style"/>
          <w:b/>
        </w:rPr>
        <w:t xml:space="preserve"> E</w:t>
      </w:r>
      <w:proofErr w:type="gramEnd"/>
      <w:r w:rsidRPr="00425FDB">
        <w:rPr>
          <w:rFonts w:ascii="Bookman Old Style" w:hAnsi="Bookman Old Style"/>
          <w:b/>
        </w:rPr>
        <w:t xml:space="preserve"> </w:t>
      </w:r>
      <w:r w:rsidR="007242DA">
        <w:rPr>
          <w:rFonts w:ascii="Bookman Old Style" w:hAnsi="Bookman Old Style"/>
          <w:b/>
        </w:rPr>
        <w:t xml:space="preserve"> </w:t>
      </w:r>
      <w:r>
        <w:rPr>
          <w:rFonts w:ascii="Bookman Old Style" w:hAnsi="Bookman Old Style"/>
          <w:b/>
        </w:rPr>
        <w:t>POSTO JWMM EIRELI.</w:t>
      </w:r>
    </w:p>
    <w:p w:rsidR="00302E39" w:rsidRDefault="00302E39" w:rsidP="00302E39">
      <w:pPr>
        <w:pStyle w:val="Corpodetexto"/>
        <w:spacing w:before="120"/>
        <w:rPr>
          <w:rFonts w:ascii="Bookman Old Style" w:hAnsi="Bookman Old Style"/>
          <w:b/>
          <w:sz w:val="24"/>
        </w:rPr>
      </w:pPr>
    </w:p>
    <w:p w:rsidR="00302E39" w:rsidRPr="00500269" w:rsidRDefault="00302E39" w:rsidP="00302E39">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Pr>
          <w:rFonts w:ascii="Bookman Old Style" w:hAnsi="Bookman Old Style"/>
          <w:b/>
        </w:rPr>
        <w:t>POSTO JWMM EIRELI.</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NPJ 01.311.192/0001-10, Inscrição e Inscrição Estadual 06997748900-26</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02</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sidR="00EF47AA">
        <w:rPr>
          <w:rFonts w:ascii="Bookman Old Style" w:hAnsi="Bookman Old Style" w:cs="Calibri"/>
          <w:b/>
          <w:color w:val="000000"/>
        </w:rPr>
        <w:t>DISPENSA</w:t>
      </w:r>
      <w:r w:rsidRPr="007F39AA">
        <w:rPr>
          <w:rFonts w:ascii="Bookman Old Style" w:hAnsi="Bookman Old Style" w:cs="Calibri"/>
          <w:b/>
          <w:color w:val="000000"/>
        </w:rPr>
        <w:t xml:space="preserve"> Nº 02/201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302E39" w:rsidRPr="00425FDB" w:rsidRDefault="00302E39" w:rsidP="00302E39">
      <w:pPr>
        <w:jc w:val="both"/>
        <w:rPr>
          <w:rFonts w:ascii="Bookman Old Style" w:hAnsi="Bookman Old Style"/>
        </w:rPr>
      </w:pPr>
    </w:p>
    <w:p w:rsidR="00302E39" w:rsidRPr="00833782" w:rsidRDefault="00302E39" w:rsidP="00302E39">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302E39" w:rsidRPr="007F39AA" w:rsidRDefault="00302E39" w:rsidP="00302E39">
      <w:pPr>
        <w:pStyle w:val="Corpodetexto"/>
        <w:numPr>
          <w:ilvl w:val="1"/>
          <w:numId w:val="7"/>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de </w:t>
      </w:r>
      <w:r>
        <w:rPr>
          <w:rFonts w:ascii="Bookman Old Style" w:hAnsi="Bookman Old Style" w:cs="Courier New"/>
          <w:sz w:val="24"/>
        </w:rPr>
        <w:t>empresa do ramo de fornecimento parcelado de combustíveis para frota de veículos do legislativo Municipal</w:t>
      </w:r>
      <w:r w:rsidRPr="007F39AA">
        <w:rPr>
          <w:rFonts w:ascii="Bookman Old Style" w:hAnsi="Bookman Old Style" w:cs="Courier New"/>
          <w:sz w:val="24"/>
        </w:rPr>
        <w:t>,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302E39" w:rsidRDefault="00302E39" w:rsidP="00302E39">
      <w:pPr>
        <w:pStyle w:val="Corpodetexto"/>
        <w:spacing w:before="120"/>
        <w:jc w:val="center"/>
        <w:rPr>
          <w:rFonts w:ascii="Bookman Old Style" w:hAnsi="Bookman Old Style"/>
          <w:b/>
          <w:sz w:val="24"/>
        </w:rPr>
      </w:pPr>
      <w:r>
        <w:rPr>
          <w:rFonts w:ascii="Bookman Old Style" w:hAnsi="Bookman Old Style"/>
          <w:b/>
          <w:sz w:val="24"/>
        </w:rPr>
        <w:t>Especificação dos Serviços</w:t>
      </w:r>
      <w:r w:rsidRPr="00C517C7">
        <w:rPr>
          <w:rFonts w:ascii="Bookman Old Style" w:hAnsi="Bookman Old Style"/>
          <w:b/>
          <w:sz w:val="24"/>
        </w:rPr>
        <w:t>:</w:t>
      </w:r>
    </w:p>
    <w:p w:rsidR="00302E39" w:rsidRDefault="00302E39" w:rsidP="00302E39">
      <w:pPr>
        <w:pStyle w:val="Corpodetexto"/>
        <w:spacing w:before="120"/>
        <w:jc w:val="center"/>
        <w:rPr>
          <w:rFonts w:ascii="Bookman Old Style" w:hAnsi="Bookman Old Style"/>
          <w:b/>
          <w:sz w:val="24"/>
        </w:rPr>
      </w:pPr>
    </w:p>
    <w:tbl>
      <w:tblPr>
        <w:tblStyle w:val="Tabelacomgrade"/>
        <w:tblW w:w="10598" w:type="dxa"/>
        <w:tblLook w:val="04A0" w:firstRow="1" w:lastRow="0" w:firstColumn="1" w:lastColumn="0" w:noHBand="0" w:noVBand="1"/>
      </w:tblPr>
      <w:tblGrid>
        <w:gridCol w:w="1118"/>
        <w:gridCol w:w="992"/>
        <w:gridCol w:w="783"/>
        <w:gridCol w:w="1843"/>
        <w:gridCol w:w="5862"/>
      </w:tblGrid>
      <w:tr w:rsidR="00302E39" w:rsidTr="00D76CBF">
        <w:tc>
          <w:tcPr>
            <w:tcW w:w="1118"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992"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783" w:type="dxa"/>
          </w:tcPr>
          <w:p w:rsidR="00302E39" w:rsidRPr="00841157" w:rsidRDefault="00302E39" w:rsidP="00D76CBF">
            <w:pPr>
              <w:pStyle w:val="Corpodetexto"/>
              <w:spacing w:before="120"/>
              <w:jc w:val="center"/>
              <w:rPr>
                <w:rFonts w:ascii="Bookman Old Style" w:hAnsi="Bookman Old Style"/>
                <w:sz w:val="24"/>
              </w:rPr>
            </w:pPr>
            <w:proofErr w:type="spellStart"/>
            <w:r w:rsidRPr="00841157">
              <w:rPr>
                <w:rFonts w:ascii="Bookman Old Style" w:hAnsi="Bookman Old Style"/>
                <w:sz w:val="24"/>
              </w:rPr>
              <w:t>Unid</w:t>
            </w:r>
            <w:proofErr w:type="spellEnd"/>
          </w:p>
        </w:tc>
        <w:tc>
          <w:tcPr>
            <w:tcW w:w="1843"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c>
          <w:tcPr>
            <w:tcW w:w="5862"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302E39" w:rsidTr="00D76CBF">
        <w:tc>
          <w:tcPr>
            <w:tcW w:w="1118"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01</w:t>
            </w:r>
          </w:p>
        </w:tc>
        <w:tc>
          <w:tcPr>
            <w:tcW w:w="992"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12</w:t>
            </w:r>
          </w:p>
        </w:tc>
        <w:tc>
          <w:tcPr>
            <w:tcW w:w="783"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Mês</w:t>
            </w:r>
          </w:p>
        </w:tc>
        <w:tc>
          <w:tcPr>
            <w:tcW w:w="1843"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 xml:space="preserve">R$ </w:t>
            </w:r>
            <w:r>
              <w:rPr>
                <w:rFonts w:ascii="Bookman Old Style" w:hAnsi="Bookman Old Style"/>
                <w:sz w:val="24"/>
              </w:rPr>
              <w:t>15</w:t>
            </w:r>
            <w:r w:rsidRPr="00E14299">
              <w:rPr>
                <w:rFonts w:ascii="Bookman Old Style" w:hAnsi="Bookman Old Style"/>
                <w:sz w:val="24"/>
              </w:rPr>
              <w:t>.000,00</w:t>
            </w:r>
          </w:p>
        </w:tc>
        <w:tc>
          <w:tcPr>
            <w:tcW w:w="5862" w:type="dxa"/>
          </w:tcPr>
          <w:p w:rsidR="00302E39" w:rsidRPr="00E14299" w:rsidRDefault="00302E39" w:rsidP="0014190C">
            <w:pPr>
              <w:pStyle w:val="Corpodetexto"/>
              <w:spacing w:before="120"/>
              <w:jc w:val="both"/>
              <w:rPr>
                <w:rFonts w:ascii="Bookman Old Style" w:hAnsi="Bookman Old Style"/>
                <w:sz w:val="24"/>
              </w:rPr>
            </w:pPr>
            <w:r w:rsidRPr="007F39AA">
              <w:rPr>
                <w:rFonts w:ascii="Bookman Old Style" w:hAnsi="Bookman Old Style" w:cs="Courier New"/>
                <w:sz w:val="24"/>
              </w:rPr>
              <w:t xml:space="preserve">Contratação de </w:t>
            </w:r>
            <w:r>
              <w:rPr>
                <w:rFonts w:ascii="Bookman Old Style" w:hAnsi="Bookman Old Style" w:cs="Courier New"/>
                <w:sz w:val="24"/>
              </w:rPr>
              <w:t>empresa do ramo de fornecimento parcelado de combustíveis para frota de veículos do legislativo Municipal</w:t>
            </w:r>
            <w:r w:rsidR="0014190C">
              <w:rPr>
                <w:rFonts w:ascii="Bookman Old Style" w:hAnsi="Bookman Old Style" w:cs="Courier New"/>
                <w:sz w:val="24"/>
              </w:rPr>
              <w:t>.</w:t>
            </w:r>
          </w:p>
        </w:tc>
      </w:tr>
    </w:tbl>
    <w:p w:rsidR="00302E39" w:rsidRDefault="00302E39" w:rsidP="00302E39">
      <w:pPr>
        <w:pStyle w:val="Corpodetexto2"/>
        <w:spacing w:before="120" w:line="240" w:lineRule="auto"/>
        <w:jc w:val="both"/>
        <w:rPr>
          <w:rFonts w:ascii="Bookman Old Style" w:hAnsi="Bookman Old Style"/>
          <w:b/>
        </w:rPr>
      </w:pPr>
      <w:r>
        <w:rPr>
          <w:rFonts w:ascii="Bookman Old Style" w:hAnsi="Bookman Old Style"/>
          <w:b/>
        </w:rPr>
        <w:t>Documento em anexo</w:t>
      </w:r>
    </w:p>
    <w:p w:rsidR="00302E39" w:rsidRPr="001A2BF2" w:rsidRDefault="00302E39" w:rsidP="00302E39">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302E39" w:rsidRPr="00425FDB" w:rsidRDefault="00302E39" w:rsidP="00302E39">
      <w:pPr>
        <w:pStyle w:val="Corpodetexto2"/>
        <w:spacing w:before="120" w:line="240" w:lineRule="auto"/>
        <w:jc w:val="both"/>
        <w:rPr>
          <w:rFonts w:ascii="Bookman Old Style" w:hAnsi="Bookman Old Style"/>
          <w:b/>
        </w:rPr>
      </w:pPr>
      <w:r w:rsidRPr="00425FDB">
        <w:rPr>
          <w:rFonts w:ascii="Bookman Old Style" w:hAnsi="Bookman Old Style"/>
          <w:b/>
        </w:rPr>
        <w:lastRenderedPageBreak/>
        <w:t>CLÁUSULA TERCEIRA - DA LEGISLAÇÃO APLICÁVEL</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QUARTA - DA OBRIGAÇÃO: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4.1. São de exclusiva obrigação da CONTRATADA:</w:t>
      </w:r>
    </w:p>
    <w:p w:rsidR="00302E39" w:rsidRPr="00425FDB" w:rsidRDefault="00302E39" w:rsidP="00302E39">
      <w:pPr>
        <w:numPr>
          <w:ilvl w:val="0"/>
          <w:numId w:val="5"/>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302E39" w:rsidRPr="00425FDB" w:rsidRDefault="00302E39" w:rsidP="00302E39">
      <w:pPr>
        <w:numPr>
          <w:ilvl w:val="0"/>
          <w:numId w:val="5"/>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302E39" w:rsidRPr="00425FDB" w:rsidRDefault="00302E39" w:rsidP="00302E39">
      <w:pPr>
        <w:numPr>
          <w:ilvl w:val="0"/>
          <w:numId w:val="5"/>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302E39" w:rsidRPr="00425FDB" w:rsidRDefault="00302E39" w:rsidP="00302E39">
      <w:pPr>
        <w:pStyle w:val="PargrafodaLista"/>
        <w:numPr>
          <w:ilvl w:val="0"/>
          <w:numId w:val="5"/>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302E39" w:rsidRPr="00425FDB" w:rsidRDefault="00302E39" w:rsidP="00302E39">
      <w:pPr>
        <w:pStyle w:val="PargrafodaLista"/>
        <w:numPr>
          <w:ilvl w:val="0"/>
          <w:numId w:val="5"/>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4.2. São de exclusiva obrigação da CONTRATANTE:</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302E39" w:rsidRPr="001F7429"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302E39" w:rsidRPr="00425FDB" w:rsidRDefault="00302E39" w:rsidP="00302E39">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de </w:t>
      </w:r>
      <w:r w:rsidRPr="00E35664">
        <w:rPr>
          <w:rFonts w:ascii="Bookman Old Style" w:hAnsi="Bookman Old Style"/>
        </w:rPr>
        <w:t xml:space="preserve">R$ </w:t>
      </w:r>
      <w:r>
        <w:rPr>
          <w:rFonts w:ascii="Bookman Old Style" w:hAnsi="Bookman Old Style"/>
        </w:rPr>
        <w:t>15</w:t>
      </w:r>
      <w:r w:rsidRPr="00E35664">
        <w:rPr>
          <w:rFonts w:ascii="Bookman Old Style" w:hAnsi="Bookman Old Style"/>
        </w:rPr>
        <w:t>.000,00(</w:t>
      </w:r>
      <w:r>
        <w:rPr>
          <w:rFonts w:ascii="Bookman Old Style" w:hAnsi="Bookman Old Style"/>
        </w:rPr>
        <w:t xml:space="preserve">Quinze </w:t>
      </w:r>
      <w:r w:rsidRPr="00E35664">
        <w:rPr>
          <w:rFonts w:ascii="Bookman Old Style" w:hAnsi="Bookman Old Style"/>
        </w:rPr>
        <w:t>mil reais)</w:t>
      </w:r>
      <w:r>
        <w:rPr>
          <w:rFonts w:ascii="Bookman Old Style" w:hAnsi="Bookman Old Style"/>
        </w:rPr>
        <w:t>.</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SEXTA - DAS DESPESAS:</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302E39" w:rsidRPr="00425FDB" w:rsidRDefault="00302E39" w:rsidP="00302E39">
      <w:pPr>
        <w:spacing w:before="120" w:after="120"/>
        <w:jc w:val="both"/>
        <w:rPr>
          <w:rFonts w:ascii="Bookman Old Style" w:hAnsi="Bookman Old Style"/>
        </w:rPr>
      </w:pPr>
      <w:r w:rsidRPr="00E35664">
        <w:rPr>
          <w:rFonts w:ascii="Bookman Old Style" w:hAnsi="Bookman Old Style"/>
        </w:rPr>
        <w:lastRenderedPageBreak/>
        <w:t>01.01.031.0001.2002-3.3.90.3</w:t>
      </w:r>
      <w:r>
        <w:rPr>
          <w:rFonts w:ascii="Bookman Old Style" w:hAnsi="Bookman Old Style"/>
        </w:rPr>
        <w:t xml:space="preserve">0 </w:t>
      </w:r>
      <w:r w:rsidRPr="00E35664">
        <w:rPr>
          <w:rFonts w:ascii="Bookman Old Style" w:hAnsi="Bookman Old Style"/>
        </w:rPr>
        <w:t>(</w:t>
      </w:r>
      <w:r>
        <w:rPr>
          <w:rFonts w:ascii="Bookman Old Style" w:hAnsi="Bookman Old Style"/>
        </w:rPr>
        <w:t>Material de Consumo</w:t>
      </w:r>
      <w:r w:rsidRPr="00E35664">
        <w:rPr>
          <w:rFonts w:ascii="Bookman Old Style" w:hAnsi="Bookman Old Style"/>
        </w:rPr>
        <w:t>)</w:t>
      </w:r>
      <w:r>
        <w:rPr>
          <w:rFonts w:ascii="Bookman Old Style" w:hAnsi="Bookman Old Style"/>
        </w:rPr>
        <w:t xml:space="preserve"> - </w:t>
      </w:r>
      <w:r w:rsidRPr="00E35664">
        <w:rPr>
          <w:rFonts w:ascii="Bookman Old Style" w:hAnsi="Bookman Old Style"/>
        </w:rPr>
        <w:t xml:space="preserve">Valor estimado R$ </w:t>
      </w:r>
      <w:r>
        <w:rPr>
          <w:rFonts w:ascii="Bookman Old Style" w:hAnsi="Bookman Old Style"/>
        </w:rPr>
        <w:t>15</w:t>
      </w:r>
      <w:r w:rsidRPr="00E35664">
        <w:rPr>
          <w:rFonts w:ascii="Bookman Old Style" w:hAnsi="Bookman Old Style"/>
        </w:rPr>
        <w:t>.000,00(</w:t>
      </w:r>
      <w:r>
        <w:rPr>
          <w:rFonts w:ascii="Bookman Old Style" w:hAnsi="Bookman Old Style"/>
        </w:rPr>
        <w:t xml:space="preserve">Quinze mil </w:t>
      </w:r>
      <w:r w:rsidRPr="00E35664">
        <w:rPr>
          <w:rFonts w:ascii="Bookman Old Style" w:hAnsi="Bookman Old Style"/>
        </w:rPr>
        <w:t>reais – anual)</w:t>
      </w:r>
      <w:r>
        <w:rPr>
          <w:rFonts w:ascii="Bookman Old Style" w:hAnsi="Bookman Old Style"/>
        </w:rPr>
        <w:t xml:space="preserve"> </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SÉTIMA - DAS PENALIDADES:</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302E39" w:rsidRPr="00425FDB" w:rsidRDefault="00302E39" w:rsidP="00302E39">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302E39" w:rsidRPr="00425FDB" w:rsidRDefault="00302E39" w:rsidP="00302E39">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302E39" w:rsidRDefault="00302E39" w:rsidP="00302E39">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302E39" w:rsidRPr="00655701" w:rsidRDefault="00302E39" w:rsidP="00302E39">
      <w:pPr>
        <w:pStyle w:val="Corpodetexto"/>
        <w:spacing w:before="120"/>
        <w:rPr>
          <w:rFonts w:ascii="Bookman Old Style" w:hAnsi="Bookman Old Style"/>
          <w:sz w:val="24"/>
        </w:rPr>
      </w:pP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OITAVA - DA RESCISÃO:</w:t>
      </w:r>
    </w:p>
    <w:p w:rsidR="00302E39" w:rsidRPr="00425FDB" w:rsidRDefault="00302E39" w:rsidP="00302E39">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302E39" w:rsidRDefault="00302E39" w:rsidP="00302E39">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lastRenderedPageBreak/>
        <w:t>CLÁUSULA NONA - PRAZO DE DURAÇÃO DO CONTRATO:</w:t>
      </w:r>
    </w:p>
    <w:p w:rsidR="00302E39" w:rsidRPr="00425FDB" w:rsidRDefault="00302E39" w:rsidP="00302E39">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302E39" w:rsidRPr="00425FDB" w:rsidRDefault="00302E39" w:rsidP="00302E39">
      <w:pPr>
        <w:pStyle w:val="Recuodecorpodetexto2"/>
        <w:tabs>
          <w:tab w:val="left" w:pos="1134"/>
        </w:tabs>
        <w:spacing w:after="0" w:line="240" w:lineRule="auto"/>
        <w:ind w:left="0"/>
        <w:jc w:val="both"/>
        <w:rPr>
          <w:rFonts w:ascii="Bookman Old Style" w:hAnsi="Bookman Old Style"/>
        </w:rPr>
      </w:pP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DÉCIMA - DA CESSÃO DO CONTRATO:</w:t>
      </w:r>
    </w:p>
    <w:p w:rsidR="00302E39" w:rsidRDefault="00302E39" w:rsidP="00302E39">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DÉCIMA PRIMEIRA - DO FORO: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302E39" w:rsidRDefault="00302E39" w:rsidP="00302E39">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302E39" w:rsidRDefault="00302E39" w:rsidP="00302E39">
      <w:pPr>
        <w:spacing w:before="120" w:after="120"/>
        <w:jc w:val="both"/>
        <w:rPr>
          <w:rFonts w:ascii="Bookman Old Style" w:hAnsi="Bookman Old Style"/>
        </w:rPr>
      </w:pPr>
    </w:p>
    <w:p w:rsidR="00302E39" w:rsidRPr="00425FDB" w:rsidRDefault="00302E39" w:rsidP="00302E39">
      <w:pPr>
        <w:spacing w:before="120" w:after="120"/>
        <w:jc w:val="both"/>
        <w:rPr>
          <w:rFonts w:ascii="Bookman Old Style" w:hAnsi="Bookman Old Style"/>
        </w:rPr>
      </w:pPr>
    </w:p>
    <w:p w:rsidR="00302E39" w:rsidRDefault="00302E39" w:rsidP="00302E39">
      <w:pPr>
        <w:spacing w:before="120" w:after="120"/>
        <w:jc w:val="center"/>
        <w:rPr>
          <w:rFonts w:ascii="Bookman Old Style" w:hAnsi="Bookman Old Style"/>
        </w:rPr>
      </w:pPr>
      <w:r w:rsidRPr="00442240">
        <w:rPr>
          <w:rFonts w:ascii="Bookman Old Style" w:hAnsi="Bookman Old Style"/>
        </w:rPr>
        <w:t xml:space="preserve">Câmara Municipal de Pequeri, </w:t>
      </w:r>
      <w:r w:rsidR="00915470">
        <w:rPr>
          <w:rFonts w:ascii="Bookman Old Style" w:hAnsi="Bookman Old Style"/>
        </w:rPr>
        <w:t>14</w:t>
      </w:r>
      <w:r w:rsidRPr="00442240">
        <w:rPr>
          <w:rFonts w:ascii="Bookman Old Style" w:hAnsi="Bookman Old Style"/>
        </w:rPr>
        <w:t xml:space="preserve"> de janeiro de 2019</w:t>
      </w:r>
    </w:p>
    <w:p w:rsidR="00302E39" w:rsidRDefault="00302E39" w:rsidP="00302E39">
      <w:pPr>
        <w:spacing w:before="120" w:after="120"/>
        <w:jc w:val="center"/>
        <w:rPr>
          <w:rFonts w:ascii="Bookman Old Style" w:hAnsi="Bookman Old Style"/>
        </w:rPr>
      </w:pPr>
    </w:p>
    <w:p w:rsidR="00302E39" w:rsidRDefault="00302E39" w:rsidP="00302E39">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02E39"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302E39" w:rsidTr="00D76CBF">
              <w:tc>
                <w:tcPr>
                  <w:tcW w:w="4820" w:type="dxa"/>
                </w:tcPr>
                <w:p w:rsidR="00302E39" w:rsidRDefault="00302E39" w:rsidP="00D76CBF">
                  <w:pPr>
                    <w:spacing w:before="240"/>
                    <w:jc w:val="center"/>
                    <w:rPr>
                      <w:rFonts w:ascii="Bookman Old Style" w:hAnsi="Bookman Old Style"/>
                      <w:b/>
                    </w:rPr>
                  </w:pPr>
                  <w:r w:rsidRPr="00425FDB">
                    <w:rPr>
                      <w:rFonts w:ascii="Bookman Old Style" w:hAnsi="Bookman Old Style"/>
                      <w:b/>
                    </w:rPr>
                    <w:t>CONTRATANTE</w:t>
                  </w:r>
                </w:p>
                <w:p w:rsidR="00302E39" w:rsidRDefault="00302E39" w:rsidP="00D76CBF">
                  <w:pPr>
                    <w:spacing w:before="240"/>
                    <w:rPr>
                      <w:rFonts w:ascii="Bookman Old Style" w:hAnsi="Bookman Old Style"/>
                      <w:b/>
                    </w:rPr>
                  </w:pPr>
                  <w:r>
                    <w:rPr>
                      <w:rFonts w:ascii="Bookman Old Style" w:hAnsi="Bookman Old Style"/>
                      <w:b/>
                    </w:rPr>
                    <w:t xml:space="preserve">   ___________________________________________</w:t>
                  </w:r>
                </w:p>
                <w:p w:rsidR="00302E39" w:rsidRDefault="00302E39" w:rsidP="00D76CBF">
                  <w:pPr>
                    <w:jc w:val="center"/>
                    <w:rPr>
                      <w:rFonts w:ascii="Bookman Old Style" w:hAnsi="Bookman Old Style"/>
                      <w:b/>
                    </w:rPr>
                  </w:pPr>
                  <w:r>
                    <w:rPr>
                      <w:rFonts w:ascii="Bookman Old Style" w:hAnsi="Bookman Old Style"/>
                      <w:b/>
                    </w:rPr>
                    <w:t>Vicente dos Reis Vieira Lobo</w:t>
                  </w:r>
                </w:p>
                <w:p w:rsidR="00302E39" w:rsidRDefault="00302E39"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302E39" w:rsidRDefault="00302E39" w:rsidP="00D76CBF">
                  <w:pPr>
                    <w:spacing w:before="240"/>
                    <w:jc w:val="center"/>
                    <w:rPr>
                      <w:rFonts w:ascii="Bookman Old Style" w:hAnsi="Bookman Old Style"/>
                      <w:b/>
                    </w:rPr>
                  </w:pPr>
                  <w:r w:rsidRPr="00425FDB">
                    <w:rPr>
                      <w:rFonts w:ascii="Bookman Old Style" w:hAnsi="Bookman Old Style"/>
                      <w:b/>
                    </w:rPr>
                    <w:t>CONTRATADO</w:t>
                  </w:r>
                </w:p>
                <w:p w:rsidR="00302E39" w:rsidRDefault="00302E39" w:rsidP="00D76CBF">
                  <w:pPr>
                    <w:spacing w:before="240"/>
                    <w:rPr>
                      <w:rFonts w:ascii="Bookman Old Style" w:hAnsi="Bookman Old Style"/>
                      <w:b/>
                    </w:rPr>
                  </w:pPr>
                  <w:r>
                    <w:rPr>
                      <w:rFonts w:ascii="Bookman Old Style" w:hAnsi="Bookman Old Style"/>
                      <w:b/>
                    </w:rPr>
                    <w:t xml:space="preserve"> _______________________________________</w:t>
                  </w:r>
                </w:p>
                <w:p w:rsidR="00302E39" w:rsidRDefault="00302E39" w:rsidP="00D76CBF">
                  <w:pPr>
                    <w:jc w:val="center"/>
                    <w:rPr>
                      <w:rFonts w:ascii="Bookman Old Style" w:hAnsi="Bookman Old Style"/>
                      <w:b/>
                    </w:rPr>
                  </w:pPr>
                  <w:r>
                    <w:rPr>
                      <w:rFonts w:ascii="Bookman Old Style" w:hAnsi="Bookman Old Style"/>
                      <w:b/>
                    </w:rPr>
                    <w:t xml:space="preserve">POSTO JWMM EIRELI </w:t>
                  </w:r>
                </w:p>
              </w:tc>
            </w:tr>
          </w:tbl>
          <w:p w:rsidR="00302E39" w:rsidRDefault="00302E39" w:rsidP="00D76CBF">
            <w:pPr>
              <w:spacing w:before="120"/>
              <w:jc w:val="both"/>
              <w:rPr>
                <w:rFonts w:ascii="Bookman Old Style" w:hAnsi="Bookman Old Style"/>
                <w:b/>
              </w:rPr>
            </w:pPr>
          </w:p>
        </w:tc>
        <w:tc>
          <w:tcPr>
            <w:tcW w:w="4324" w:type="dxa"/>
          </w:tcPr>
          <w:p w:rsidR="00302E39" w:rsidRDefault="00302E39" w:rsidP="00D76CBF">
            <w:pPr>
              <w:spacing w:before="120"/>
              <w:jc w:val="both"/>
              <w:rPr>
                <w:rFonts w:ascii="Bookman Old Style" w:hAnsi="Bookman Old Style"/>
                <w:b/>
              </w:rPr>
            </w:pPr>
          </w:p>
        </w:tc>
      </w:tr>
      <w:tr w:rsidR="00302E39" w:rsidRPr="00425FDB" w:rsidTr="00D76CBF">
        <w:tc>
          <w:tcPr>
            <w:tcW w:w="9781" w:type="dxa"/>
          </w:tcPr>
          <w:p w:rsidR="00302E39" w:rsidRPr="00425FDB" w:rsidRDefault="00302E39" w:rsidP="00D76CBF">
            <w:pPr>
              <w:spacing w:before="120"/>
              <w:jc w:val="both"/>
              <w:rPr>
                <w:rFonts w:ascii="Bookman Old Style" w:hAnsi="Bookman Old Style"/>
                <w:b/>
              </w:rPr>
            </w:pPr>
          </w:p>
        </w:tc>
        <w:tc>
          <w:tcPr>
            <w:tcW w:w="4324" w:type="dxa"/>
          </w:tcPr>
          <w:p w:rsidR="00302E39" w:rsidRPr="00425FDB" w:rsidRDefault="00302E39" w:rsidP="00D76CBF">
            <w:pPr>
              <w:spacing w:before="120"/>
              <w:jc w:val="both"/>
              <w:rPr>
                <w:rFonts w:ascii="Bookman Old Style" w:hAnsi="Bookman Old Style"/>
                <w:b/>
              </w:rPr>
            </w:pPr>
          </w:p>
        </w:tc>
      </w:tr>
      <w:tr w:rsidR="00302E39" w:rsidRPr="00425FDB" w:rsidTr="00D76CBF">
        <w:tc>
          <w:tcPr>
            <w:tcW w:w="9781" w:type="dxa"/>
          </w:tcPr>
          <w:p w:rsidR="00302E39" w:rsidRPr="00425FDB" w:rsidRDefault="00302E39" w:rsidP="00D76CBF">
            <w:pPr>
              <w:jc w:val="both"/>
              <w:rPr>
                <w:rFonts w:ascii="Bookman Old Style" w:hAnsi="Bookman Old Style"/>
                <w:b/>
              </w:rPr>
            </w:pPr>
          </w:p>
        </w:tc>
        <w:tc>
          <w:tcPr>
            <w:tcW w:w="4324" w:type="dxa"/>
          </w:tcPr>
          <w:p w:rsidR="00302E39" w:rsidRPr="00425FDB" w:rsidRDefault="00302E39" w:rsidP="00D76CBF">
            <w:pPr>
              <w:jc w:val="both"/>
              <w:rPr>
                <w:rFonts w:ascii="Bookman Old Style" w:hAnsi="Bookman Old Style"/>
                <w:b/>
              </w:rPr>
            </w:pPr>
          </w:p>
        </w:tc>
      </w:tr>
    </w:tbl>
    <w:p w:rsidR="00302E39" w:rsidRDefault="00302E39" w:rsidP="00302E39">
      <w:pPr>
        <w:spacing w:before="240"/>
        <w:jc w:val="center"/>
        <w:rPr>
          <w:rFonts w:ascii="Bookman Old Style" w:hAnsi="Bookman Old Style"/>
          <w:b/>
        </w:rPr>
      </w:pPr>
      <w:r w:rsidRPr="00425FDB">
        <w:rPr>
          <w:rFonts w:ascii="Bookman Old Style" w:hAnsi="Bookman Old Style"/>
          <w:b/>
        </w:rPr>
        <w:t>TESTEMUNHAS</w:t>
      </w:r>
    </w:p>
    <w:p w:rsidR="00302E39" w:rsidRPr="00425FDB" w:rsidRDefault="00302E39" w:rsidP="00302E39">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302E39" w:rsidRPr="00425FDB" w:rsidRDefault="00302E39" w:rsidP="00302E39">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302E39" w:rsidRPr="00425FDB" w:rsidRDefault="00302E39" w:rsidP="00302E39">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302E39" w:rsidRDefault="00302E39" w:rsidP="00375FCD">
      <w:pPr>
        <w:jc w:val="both"/>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sectPr w:rsidR="00302E39" w:rsidSect="00302E39">
      <w:headerReference w:type="even" r:id="rId7"/>
      <w:headerReference w:type="default" r:id="rId8"/>
      <w:footerReference w:type="even" r:id="rId9"/>
      <w:footerReference w:type="default" r:id="rId10"/>
      <w:headerReference w:type="first" r:id="rId11"/>
      <w:footerReference w:type="first" r:id="rId12"/>
      <w:pgSz w:w="11906" w:h="16838"/>
      <w:pgMar w:top="2835"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53" w:rsidRDefault="00FA0B53" w:rsidP="00716805">
      <w:pPr>
        <w:spacing w:after="0" w:line="240" w:lineRule="auto"/>
      </w:pPr>
      <w:r>
        <w:separator/>
      </w:r>
    </w:p>
  </w:endnote>
  <w:endnote w:type="continuationSeparator" w:id="0">
    <w:p w:rsidR="00FA0B53" w:rsidRDefault="00FA0B53"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29" w:rsidRDefault="004041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29" w:rsidRDefault="0040412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29" w:rsidRDefault="004041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53" w:rsidRDefault="00FA0B53" w:rsidP="00716805">
      <w:pPr>
        <w:spacing w:after="0" w:line="240" w:lineRule="auto"/>
      </w:pPr>
      <w:r>
        <w:separator/>
      </w:r>
    </w:p>
  </w:footnote>
  <w:footnote w:type="continuationSeparator" w:id="0">
    <w:p w:rsidR="00FA0B53" w:rsidRDefault="00FA0B53"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29" w:rsidRDefault="004041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404129">
    <w:pPr>
      <w:pStyle w:val="Cabealho"/>
      <w:tabs>
        <w:tab w:val="left" w:pos="1470"/>
        <w:tab w:val="center" w:pos="4535"/>
      </w:tabs>
      <w:jc w:val="center"/>
      <w:rPr>
        <w:rFonts w:ascii="Garamond" w:hAnsi="Garamond"/>
        <w:b/>
        <w:sz w:val="32"/>
      </w:rPr>
    </w:pPr>
    <w:bookmarkStart w:id="0" w:name="_GoBack"/>
    <w:r>
      <w:rPr>
        <w:noProof/>
      </w:rPr>
      <w:drawing>
        <wp:anchor distT="0" distB="0" distL="114300" distR="114300" simplePos="0" relativeHeight="251663360" behindDoc="1" locked="0" layoutInCell="1" allowOverlap="1" wp14:anchorId="5940C6CF" wp14:editId="2517DBE0">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404129">
    <w:pPr>
      <w:pStyle w:val="Cabealho"/>
      <w:jc w:val="center"/>
      <w:rPr>
        <w:rFonts w:ascii="Garamond" w:hAnsi="Garamond"/>
        <w:b/>
        <w:i/>
        <w:sz w:val="32"/>
      </w:rPr>
    </w:pPr>
    <w:r>
      <w:rPr>
        <w:rFonts w:ascii="Garamond" w:hAnsi="Garamond"/>
        <w:b/>
        <w:i/>
        <w:sz w:val="32"/>
      </w:rPr>
      <w:t>“O PORTAL DA CIDADANIA”</w:t>
    </w:r>
  </w:p>
  <w:bookmarkEnd w:id="0"/>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F5AF0B3" wp14:editId="7ED0D213">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0B3"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2C1814F2" wp14:editId="32E84D13">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14F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129" w:rsidRDefault="004041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14A9A"/>
    <w:rsid w:val="00034BD2"/>
    <w:rsid w:val="00037D2B"/>
    <w:rsid w:val="00050ABA"/>
    <w:rsid w:val="00082133"/>
    <w:rsid w:val="000958FD"/>
    <w:rsid w:val="000D50AE"/>
    <w:rsid w:val="000D77EB"/>
    <w:rsid w:val="00100006"/>
    <w:rsid w:val="0014190C"/>
    <w:rsid w:val="001602D0"/>
    <w:rsid w:val="001A0BDE"/>
    <w:rsid w:val="0024731D"/>
    <w:rsid w:val="002519E7"/>
    <w:rsid w:val="002A0A05"/>
    <w:rsid w:val="002D0CFC"/>
    <w:rsid w:val="002D5455"/>
    <w:rsid w:val="002E6F39"/>
    <w:rsid w:val="00302E39"/>
    <w:rsid w:val="00305952"/>
    <w:rsid w:val="003634AE"/>
    <w:rsid w:val="00375FCD"/>
    <w:rsid w:val="00397052"/>
    <w:rsid w:val="003C7B59"/>
    <w:rsid w:val="003D743E"/>
    <w:rsid w:val="003F4E2F"/>
    <w:rsid w:val="00404129"/>
    <w:rsid w:val="00497379"/>
    <w:rsid w:val="004A0046"/>
    <w:rsid w:val="005116F0"/>
    <w:rsid w:val="00584AE1"/>
    <w:rsid w:val="005A42A7"/>
    <w:rsid w:val="005B2C09"/>
    <w:rsid w:val="005B51B7"/>
    <w:rsid w:val="005C06A4"/>
    <w:rsid w:val="005D3CC9"/>
    <w:rsid w:val="00612EDE"/>
    <w:rsid w:val="0068296E"/>
    <w:rsid w:val="006D460C"/>
    <w:rsid w:val="006F1CCC"/>
    <w:rsid w:val="00711A7E"/>
    <w:rsid w:val="00714E09"/>
    <w:rsid w:val="00716805"/>
    <w:rsid w:val="007242DA"/>
    <w:rsid w:val="0072465D"/>
    <w:rsid w:val="00746DA6"/>
    <w:rsid w:val="00772F14"/>
    <w:rsid w:val="008D55B4"/>
    <w:rsid w:val="00915470"/>
    <w:rsid w:val="009C6D8E"/>
    <w:rsid w:val="009E636F"/>
    <w:rsid w:val="00A7541F"/>
    <w:rsid w:val="00A956DC"/>
    <w:rsid w:val="00AA33EB"/>
    <w:rsid w:val="00AA5F6F"/>
    <w:rsid w:val="00AF1A0D"/>
    <w:rsid w:val="00B138FE"/>
    <w:rsid w:val="00B172DF"/>
    <w:rsid w:val="00B1775F"/>
    <w:rsid w:val="00B47E8C"/>
    <w:rsid w:val="00B95031"/>
    <w:rsid w:val="00B97420"/>
    <w:rsid w:val="00BA7E37"/>
    <w:rsid w:val="00BC2256"/>
    <w:rsid w:val="00BD0A3A"/>
    <w:rsid w:val="00C0718E"/>
    <w:rsid w:val="00C33F28"/>
    <w:rsid w:val="00C34E95"/>
    <w:rsid w:val="00C44A60"/>
    <w:rsid w:val="00CE7747"/>
    <w:rsid w:val="00D07569"/>
    <w:rsid w:val="00D20AEB"/>
    <w:rsid w:val="00D35EED"/>
    <w:rsid w:val="00D96DA2"/>
    <w:rsid w:val="00DA1AD0"/>
    <w:rsid w:val="00E739F5"/>
    <w:rsid w:val="00EF47AA"/>
    <w:rsid w:val="00F10BDD"/>
    <w:rsid w:val="00FA0B53"/>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CCBF2D"/>
  <w15:docId w15:val="{E0462133-BC7A-4A6E-8A60-C97B6881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paragraph" w:styleId="Corpodetexto2">
    <w:name w:val="Body Text 2"/>
    <w:basedOn w:val="Normal"/>
    <w:link w:val="Corpodetexto2Char"/>
    <w:uiPriority w:val="99"/>
    <w:semiHidden/>
    <w:unhideWhenUsed/>
    <w:rsid w:val="00302E39"/>
    <w:pPr>
      <w:spacing w:after="120" w:line="480" w:lineRule="auto"/>
    </w:pPr>
  </w:style>
  <w:style w:type="character" w:customStyle="1" w:styleId="Corpodetexto2Char">
    <w:name w:val="Corpo de texto 2 Char"/>
    <w:basedOn w:val="Fontepargpadro"/>
    <w:link w:val="Corpodetexto2"/>
    <w:uiPriority w:val="99"/>
    <w:semiHidden/>
    <w:rsid w:val="00302E39"/>
  </w:style>
  <w:style w:type="paragraph" w:styleId="Recuodecorpodetexto2">
    <w:name w:val="Body Text Indent 2"/>
    <w:basedOn w:val="Normal"/>
    <w:link w:val="Recuodecorpodetexto2Char"/>
    <w:uiPriority w:val="99"/>
    <w:semiHidden/>
    <w:unhideWhenUsed/>
    <w:rsid w:val="00302E3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02E39"/>
  </w:style>
  <w:style w:type="table" w:styleId="Tabelacomgrade">
    <w:name w:val="Table Grid"/>
    <w:basedOn w:val="Tabelanormal"/>
    <w:rsid w:val="00302E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302E39"/>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4</cp:revision>
  <cp:lastPrinted>2019-02-01T14:56:00Z</cp:lastPrinted>
  <dcterms:created xsi:type="dcterms:W3CDTF">2019-02-01T14:10:00Z</dcterms:created>
  <dcterms:modified xsi:type="dcterms:W3CDTF">2019-02-01T14:57:00Z</dcterms:modified>
</cp:coreProperties>
</file>